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BE" w:rsidRPr="003E2E73" w:rsidRDefault="005A66BE" w:rsidP="005A66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  <w:r w:rsidR="00546D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5A66BE" w:rsidRPr="003E2E73" w:rsidRDefault="005A66BE" w:rsidP="005A66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СУББОТИНСКОГО СЕЛЬСОВЕТА</w:t>
      </w:r>
    </w:p>
    <w:p w:rsidR="005A66BE" w:rsidRPr="003E2E73" w:rsidRDefault="005A66BE" w:rsidP="005A66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554010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554010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56795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. 202</w:t>
      </w:r>
      <w:r w:rsidR="00567953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3E2E73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</w:t>
      </w:r>
      <w:r w:rsidR="006070DE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     </w:t>
      </w:r>
      <w:r w:rsidRPr="003E2E73">
        <w:rPr>
          <w:rFonts w:ascii="Arial" w:eastAsia="Times New Roman" w:hAnsi="Arial" w:cs="Arial"/>
          <w:bCs/>
          <w:spacing w:val="-2"/>
          <w:sz w:val="24"/>
          <w:szCs w:val="24"/>
          <w:lang w:eastAsia="ru-RU"/>
        </w:rPr>
        <w:t xml:space="preserve">           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</w:t>
      </w:r>
      <w:proofErr w:type="spellStart"/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Субботино</w:t>
      </w:r>
      <w:proofErr w:type="spellEnd"/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="006070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№ </w:t>
      </w:r>
      <w:r w:rsidR="00554010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="00567953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Pr="00546D1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Субботинский</w:t>
      </w:r>
      <w:proofErr w:type="spellEnd"/>
      <w:r w:rsidRPr="00546D1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ельсовет» на 202</w:t>
      </w:r>
      <w:r w:rsidR="0055401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администрация 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</w:t>
      </w: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5540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год, согласно приложению.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3E2E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в сети интернет.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3.    Контроль за исполнением постановления оставляю за собой.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Настоящее постановление вступает в силу в день, следующий за днем его официального опубликования в газете </w:t>
      </w:r>
      <w:proofErr w:type="spellStart"/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Субботинские</w:t>
      </w:r>
      <w:proofErr w:type="spellEnd"/>
      <w:r w:rsidRPr="003E2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ВЕСТИ.</w:t>
      </w:r>
    </w:p>
    <w:p w:rsidR="005A66BE" w:rsidRDefault="005A66BE" w:rsidP="005A66B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E73" w:rsidRPr="003E2E73" w:rsidRDefault="003E2E73" w:rsidP="005A66B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6BE" w:rsidRPr="003E2E73" w:rsidRDefault="005A66BE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E2E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</w:t>
      </w:r>
      <w:r w:rsidR="00546D18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         О.В. </w:t>
      </w:r>
      <w:proofErr w:type="spellStart"/>
      <w:r w:rsidRPr="003E2E73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</w:p>
    <w:p w:rsidR="005A66BE" w:rsidRDefault="005A66BE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2E73" w:rsidRDefault="003E2E73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2E73" w:rsidRDefault="003E2E73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2E73" w:rsidRPr="003E2E73" w:rsidRDefault="003E2E73" w:rsidP="005A66BE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A66BE" w:rsidRPr="003E2E73" w:rsidRDefault="005A66BE" w:rsidP="005A66BE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к постановлению Администрации </w:t>
      </w:r>
      <w:proofErr w:type="spellStart"/>
      <w:r w:rsidRPr="003E2E73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от </w:t>
      </w:r>
      <w:r w:rsidR="0056795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5401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6795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5401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E2E73">
        <w:rPr>
          <w:rFonts w:ascii="Arial" w:eastAsia="Times New Roman" w:hAnsi="Arial" w:cs="Arial"/>
          <w:sz w:val="24"/>
          <w:szCs w:val="24"/>
          <w:lang w:eastAsia="ru-RU"/>
        </w:rPr>
        <w:t>2.202</w:t>
      </w:r>
      <w:r w:rsidR="0056795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55401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67953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5A66BE" w:rsidRPr="003E2E73" w:rsidRDefault="005A66BE" w:rsidP="005A6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55401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1. Общие положения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2. Аналитическая часть Программы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Вид осуществляемого муниципального контроля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 контроль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осуществляется администрацией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Шушенского района.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Обзор по виду муниципального контроля.       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Муниципальный контроль за соблюдением правил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Подконтрольные субъекты: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Решение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Совета депутатов от 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 w:bidi="ru-RU"/>
        </w:rPr>
        <w:t>24.08.2017 № 29-66 «Об утверждении Правил благоустройства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 w:bidi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 w:bidi="ru-RU"/>
        </w:rPr>
        <w:t xml:space="preserve"> сельсовет»».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5540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 не проводились.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</w:t>
      </w:r>
      <w:r w:rsid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ям, администрацией </w:t>
      </w:r>
      <w:proofErr w:type="spellStart"/>
      <w:r w:rsid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5540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году.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Обеспечено размещение на официальном сайте администрации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Субботинского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ресурсоснабжающих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5540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 не утверждался.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3. Цели и задачи Программы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Цели Программы: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Задачи Программы: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D93F4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bookmarkStart w:id="0" w:name="_GoBack"/>
      <w:bookmarkEnd w:id="0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5540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 (приложение).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Отчетные показатели Программы за 202</w:t>
      </w:r>
      <w:r w:rsidR="005540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доля профилактических мероприятий в объеме контрольных мероприятий – 80%.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Экономический эффект от реализованных мероприятий: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повышение уровня доверия подконтрольных субъектов к контрольным органам. 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Раздел 6. Порядок управления Программой.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</w:t>
      </w:r>
      <w:r w:rsid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льного образования «</w:t>
      </w:r>
      <w:proofErr w:type="spellStart"/>
      <w:r w:rsid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3575"/>
        <w:gridCol w:w="2788"/>
        <w:gridCol w:w="2595"/>
      </w:tblGrid>
      <w:tr w:rsidR="005A66BE" w:rsidRPr="003E2E73" w:rsidTr="002154D6"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5A66BE" w:rsidRPr="003E2E73" w:rsidTr="002154D6"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proofErr w:type="spellStart"/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8(39139)21664</w:t>
            </w:r>
          </w:p>
          <w:p w:rsidR="005A66BE" w:rsidRPr="003E2E73" w:rsidRDefault="00D93F47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" w:history="1">
              <w:r w:rsidR="005A66BE" w:rsidRPr="003E2E73">
                <w:rPr>
                  <w:rFonts w:ascii="Arial" w:eastAsia="Times New Roman" w:hAnsi="Arial" w:cs="Arial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olegtaschanow@mail.ru</w:t>
              </w:r>
            </w:hyperlink>
          </w:p>
        </w:tc>
      </w:tr>
    </w:tbl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5540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</w:t>
      </w:r>
    </w:p>
    <w:p w:rsidR="005A66BE" w:rsidRPr="003E2E73" w:rsidRDefault="005A66BE" w:rsidP="005A66BE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сельсовет» на 202</w:t>
      </w:r>
      <w:r w:rsidR="0055401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3E2E7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год. </w:t>
      </w:r>
      <w:r w:rsidRPr="003E2E7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ind w:left="4395"/>
        <w:jc w:val="both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сельсовет» на 202</w:t>
      </w:r>
      <w:r w:rsidR="00554010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>5</w:t>
      </w:r>
      <w:r w:rsidRPr="003E2E73"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  <w:t xml:space="preserve"> год </w:t>
      </w:r>
    </w:p>
    <w:p w:rsidR="005A66BE" w:rsidRPr="003E2E73" w:rsidRDefault="005A66BE" w:rsidP="005A66B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Cs/>
          <w:iCs/>
          <w:color w:val="333333"/>
          <w:sz w:val="24"/>
          <w:szCs w:val="24"/>
          <w:lang w:eastAsia="ru-RU"/>
        </w:rPr>
      </w:pPr>
    </w:p>
    <w:p w:rsidR="005A66BE" w:rsidRPr="003E2E73" w:rsidRDefault="005A66BE" w:rsidP="005A66B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proofErr w:type="spellStart"/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Субботинский</w:t>
      </w:r>
      <w:proofErr w:type="spellEnd"/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55401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</w:t>
      </w:r>
      <w:r w:rsidRPr="003E2E7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год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399"/>
        <w:gridCol w:w="3374"/>
        <w:gridCol w:w="1870"/>
        <w:gridCol w:w="1419"/>
      </w:tblGrid>
      <w:tr w:rsidR="005A66BE" w:rsidRPr="003E2E73" w:rsidTr="002154D6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A66BE" w:rsidRPr="003E2E73" w:rsidTr="002154D6"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программу профилактики рисков причинения вреда и </w:t>
            </w: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 проведения плановых контрольных мероприятий;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A66BE" w:rsidRPr="003E2E73" w:rsidTr="002154D6"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5A66BE" w:rsidRPr="003E2E73" w:rsidTr="002154D6"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</w:t>
            </w: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A66BE" w:rsidRPr="003E2E73" w:rsidTr="002154D6">
        <w:tc>
          <w:tcPr>
            <w:tcW w:w="431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Консультирование, осуществляется по следующим вопросам: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5A66BE" w:rsidRPr="003E2E73" w:rsidRDefault="005A66BE" w:rsidP="005A66BE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2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A66BE" w:rsidRPr="003E2E73" w:rsidRDefault="005A66BE" w:rsidP="005A66BE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743317" w:rsidRPr="003E2E73" w:rsidRDefault="00743317">
      <w:pPr>
        <w:rPr>
          <w:rFonts w:ascii="Arial" w:hAnsi="Arial" w:cs="Arial"/>
          <w:sz w:val="24"/>
          <w:szCs w:val="24"/>
        </w:rPr>
      </w:pPr>
    </w:p>
    <w:sectPr w:rsidR="00743317" w:rsidRPr="003E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58"/>
    <w:rsid w:val="00086758"/>
    <w:rsid w:val="003E2E73"/>
    <w:rsid w:val="00546D18"/>
    <w:rsid w:val="00554010"/>
    <w:rsid w:val="00567953"/>
    <w:rsid w:val="005A66BE"/>
    <w:rsid w:val="006070DE"/>
    <w:rsid w:val="00743317"/>
    <w:rsid w:val="00D9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6993-47E9-49E6-B40A-094461E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ptrevo_sel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2024-12-23T09:04:00Z</cp:lastPrinted>
  <dcterms:created xsi:type="dcterms:W3CDTF">2024-12-23T08:51:00Z</dcterms:created>
  <dcterms:modified xsi:type="dcterms:W3CDTF">2024-12-23T09:06:00Z</dcterms:modified>
</cp:coreProperties>
</file>